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8D" w:rsidRDefault="00E8138D" w:rsidP="00E8138D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Опис вакансії</w:t>
      </w:r>
    </w:p>
    <w:tbl>
      <w:tblPr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2955"/>
        <w:gridCol w:w="1200"/>
        <w:gridCol w:w="4470"/>
      </w:tblGrid>
      <w:tr w:rsidR="00E8138D" w:rsidTr="00A1726D">
        <w:trPr>
          <w:trHeight w:val="100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Default="00E8138D" w:rsidP="00AB09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138D" w:rsidRPr="00062798" w:rsidRDefault="00E8138D" w:rsidP="00AB09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627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Загальні умови</w:t>
            </w:r>
          </w:p>
        </w:tc>
      </w:tr>
      <w:tr w:rsidR="00A1726D" w:rsidRPr="00062798" w:rsidTr="00062798">
        <w:trPr>
          <w:trHeight w:val="7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B09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B09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Категорія </w:t>
            </w:r>
            <w:r w:rsidR="001B0BF1"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  <w:p w:rsidR="00E8138D" w:rsidRPr="00062798" w:rsidRDefault="001B0BF1" w:rsidP="001B0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</w:t>
            </w:r>
            <w:r w:rsidR="00E8138D"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організації надання та забезпечення соціальних послуг управління фінансів та надання соціальних послуг</w:t>
            </w:r>
          </w:p>
        </w:tc>
      </w:tr>
      <w:tr w:rsidR="00A1726D" w:rsidRPr="00062798" w:rsidTr="00062798">
        <w:trPr>
          <w:trHeight w:val="7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Посадові обов’язки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0627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62798">
              <w:t>1.</w:t>
            </w:r>
            <w:r w:rsidRPr="00062798">
              <w:rPr>
                <w:lang w:val="uk-UA"/>
              </w:rPr>
              <w:t>Керівництво та організація роботи відділу: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062798">
              <w:rPr>
                <w:rStyle w:val="a8"/>
                <w:color w:val="000000"/>
                <w:sz w:val="24"/>
                <w:szCs w:val="24"/>
                <w:lang w:val="uk-UA" w:eastAsia="uk-UA"/>
              </w:rPr>
              <w:t>розподіл обов'язки між працівниками відділу, очолює та контролює їх роботу;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062798">
              <w:rPr>
                <w:rStyle w:val="a8"/>
                <w:color w:val="000000"/>
                <w:sz w:val="24"/>
                <w:szCs w:val="24"/>
                <w:lang w:val="uk-UA" w:eastAsia="uk-UA"/>
              </w:rPr>
              <w:t>визначення ступеню відповідальності працівників відділу;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062798">
              <w:rPr>
                <w:rStyle w:val="a8"/>
                <w:color w:val="000000"/>
                <w:sz w:val="24"/>
                <w:szCs w:val="24"/>
                <w:lang w:val="uk-UA" w:eastAsia="uk-UA"/>
              </w:rPr>
              <w:t>регулювання роботи відділу щодо його ефективної взаємодії з іншими структурними підрозділами Департаменту;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lang w:val="uk-UA"/>
              </w:rPr>
            </w:pPr>
            <w:r w:rsidRPr="00062798">
              <w:rPr>
                <w:lang w:val="uk-UA"/>
              </w:rPr>
              <w:t>забезпечення виконання завдань і функцій, покладених на відділ;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lang w:val="uk-UA"/>
              </w:rPr>
            </w:pPr>
            <w:r w:rsidRPr="00062798">
              <w:rPr>
                <w:lang w:val="uk-UA"/>
              </w:rPr>
              <w:t>забезпечення виконання плану роботи відділу, управління, Департаменту та плану роботи обласної державної адміністрації з питань, що стосуються роботи відділу;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lang w:val="uk-UA"/>
              </w:rPr>
            </w:pPr>
            <w:r w:rsidRPr="00062798">
              <w:rPr>
                <w:lang w:val="uk-UA"/>
              </w:rPr>
              <w:t>здійснення моніторингу та контролю за виконанням працівниками відділу організаційно-методичної роботи посадових обов’язків, правил внутрішнього службового розпорядку;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lang w:val="uk-UA"/>
              </w:rPr>
            </w:pPr>
            <w:r w:rsidRPr="00062798">
              <w:rPr>
                <w:color w:val="000000"/>
                <w:lang w:val="uk-UA"/>
              </w:rPr>
              <w:t>забезпечення дотримання працівниками відділу законодавства України з питань державної служби та запобігання корупції;</w:t>
            </w:r>
          </w:p>
          <w:p w:rsidR="00062798" w:rsidRPr="00062798" w:rsidRDefault="00062798" w:rsidP="00062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вжиття необхідних заходів щодо вдосконалення організації роботи відділу.</w:t>
            </w:r>
          </w:p>
          <w:p w:rsidR="00062798" w:rsidRPr="00062798" w:rsidRDefault="00062798" w:rsidP="00A17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062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інтернатних установ, надання необхідної методичної та організаційної допомоги в їх роботі.</w:t>
            </w:r>
          </w:p>
          <w:p w:rsidR="00062798" w:rsidRPr="00062798" w:rsidRDefault="00E8138D" w:rsidP="00062798">
            <w:pPr>
              <w:pStyle w:val="a3"/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r w:rsidRPr="00062798">
              <w:rPr>
                <w:color w:val="000000" w:themeColor="text1"/>
                <w:lang w:val="uk-UA"/>
              </w:rPr>
              <w:t>3.</w:t>
            </w:r>
            <w:r w:rsidR="00062798" w:rsidRPr="00062798">
              <w:rPr>
                <w:lang w:val="uk-UA"/>
              </w:rPr>
              <w:t xml:space="preserve"> </w:t>
            </w:r>
            <w:r w:rsidR="00062798" w:rsidRPr="00062798">
              <w:rPr>
                <w:lang w:val="uk-UA"/>
              </w:rPr>
              <w:t> В межах повноважень здійснює к</w:t>
            </w:r>
            <w:r w:rsidR="00062798" w:rsidRPr="00062798">
              <w:rPr>
                <w:rFonts w:eastAsia="Calibri"/>
                <w:lang w:val="uk-UA" w:eastAsia="en-US"/>
              </w:rPr>
              <w:t>оординацію та контроль за:</w:t>
            </w:r>
          </w:p>
          <w:p w:rsidR="00062798" w:rsidRPr="00062798" w:rsidRDefault="00062798" w:rsidP="000627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62798">
              <w:rPr>
                <w:lang w:val="uk-UA"/>
              </w:rPr>
              <w:t>діяльністю суб’єктів системи надання соціальних послуг на регіональному рівні;</w:t>
            </w:r>
          </w:p>
          <w:p w:rsidR="00062798" w:rsidRPr="00062798" w:rsidRDefault="00062798" w:rsidP="000627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62798">
              <w:rPr>
                <w:rFonts w:eastAsia="Calibri"/>
                <w:lang w:val="uk-UA" w:eastAsia="en-US"/>
              </w:rPr>
              <w:t xml:space="preserve">забезпеченням діяльності територіальних центрів соціального обслуговування (надання соціальних послуг), центрів надання соціальних послуг, центрів </w:t>
            </w:r>
            <w:r w:rsidRPr="00062798">
              <w:rPr>
                <w:lang w:val="uk-UA"/>
              </w:rPr>
              <w:t>комплексної реабілітації для осіб з інвалідністю та дітей з інвалідністю, в межах повноважень;</w:t>
            </w:r>
          </w:p>
          <w:p w:rsidR="00062798" w:rsidRPr="00062798" w:rsidRDefault="00062798" w:rsidP="00062798">
            <w:pPr>
              <w:pStyle w:val="a3"/>
              <w:spacing w:before="0" w:beforeAutospacing="0" w:after="0" w:afterAutospacing="0"/>
              <w:rPr>
                <w:rStyle w:val="a8"/>
                <w:sz w:val="24"/>
                <w:szCs w:val="24"/>
                <w:lang w:val="uk-UA"/>
              </w:rPr>
            </w:pPr>
            <w:r w:rsidRPr="00062798">
              <w:rPr>
                <w:rStyle w:val="a8"/>
                <w:color w:val="000000"/>
                <w:sz w:val="24"/>
                <w:szCs w:val="24"/>
                <w:lang w:val="uk-UA" w:eastAsia="uk-UA"/>
              </w:rPr>
              <w:t>своєчасним одержанням від підвідомчих установ періодичної та статистичної звітності, складання зведених звітів, що належать до компетенції відділу;</w:t>
            </w:r>
          </w:p>
          <w:p w:rsidR="00062798" w:rsidRPr="00062798" w:rsidRDefault="00062798" w:rsidP="000627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62798">
              <w:rPr>
                <w:lang w:val="uk-UA"/>
              </w:rPr>
              <w:t>забезпеченням дотримання прав отримувачів соціальних послуг;</w:t>
            </w:r>
          </w:p>
          <w:p w:rsidR="00062798" w:rsidRPr="00062798" w:rsidRDefault="00062798" w:rsidP="00062798">
            <w:pPr>
              <w:jc w:val="both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6279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своєчасним та якісним складанням звітно- аналітичної інформації</w:t>
            </w:r>
            <w:r w:rsidRPr="0006279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62798" w:rsidRPr="00062798" w:rsidRDefault="00E8138D" w:rsidP="000627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62798">
              <w:rPr>
                <w:color w:val="000000" w:themeColor="text1"/>
                <w:lang w:val="uk-UA"/>
              </w:rPr>
              <w:t xml:space="preserve">4. </w:t>
            </w:r>
            <w:r w:rsidR="00062798" w:rsidRPr="00062798">
              <w:rPr>
                <w:lang w:val="uk-UA"/>
              </w:rPr>
              <w:t>Забезпечення: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lang w:val="uk-UA"/>
              </w:rPr>
            </w:pPr>
            <w:r w:rsidRPr="00062798">
              <w:rPr>
                <w:lang w:val="uk-UA"/>
              </w:rPr>
              <w:t>проведення семінарів і занять із працівниками підвідомчих установ з питань поліпшення організації їх роботи;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lang w:val="uk-UA"/>
              </w:rPr>
            </w:pPr>
            <w:r w:rsidRPr="00062798">
              <w:rPr>
                <w:lang w:val="uk-UA"/>
              </w:rPr>
              <w:t>підготовки оглядових матеріалів із питань, що належать до компетенції відділу, в тому числі й засідань колегій Департаменту;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062798">
              <w:rPr>
                <w:rStyle w:val="a8"/>
                <w:color w:val="000000"/>
                <w:sz w:val="24"/>
                <w:szCs w:val="24"/>
                <w:lang w:val="uk-UA" w:eastAsia="uk-UA"/>
              </w:rPr>
              <w:t>сприяння органам місцевого самоврядування у вирішенні питань соціально-економічного розвитку відповідних територій, громадським та іншим організаціям, волонтерам у проведенні ними роботи з питань соціального захисту осіб з інвалідністю, людей похилого віку та інших вразливих категорій населення;</w:t>
            </w:r>
          </w:p>
          <w:p w:rsidR="00062798" w:rsidRPr="00062798" w:rsidRDefault="00062798" w:rsidP="0006279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lang w:val="uk-UA"/>
              </w:rPr>
            </w:pPr>
            <w:r w:rsidRPr="00062798">
              <w:rPr>
                <w:lang w:val="uk-UA"/>
              </w:rPr>
              <w:t>контроль  за своєчасним та якісним складанням звітно-аналітичної інформації;</w:t>
            </w:r>
          </w:p>
          <w:p w:rsidR="00062798" w:rsidRPr="00E11551" w:rsidRDefault="00062798" w:rsidP="000627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6279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організації на відповідній території надання соціальних послуг (соціальне обслуговування), проведення соціальної роботи, у тому числі соціального супроводу сімей / осіб, шляхом визначення потреб населення у соціальних послугах, розвитку відповідних закладів, установ, служб і залучення недержавних організацій, які надають соціальні послуги</w:t>
            </w:r>
          </w:p>
          <w:p w:rsidR="00062798" w:rsidRPr="00062798" w:rsidRDefault="00E8138D" w:rsidP="00A172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r w:rsidR="00062798" w:rsidRPr="00062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нарадах, підготовка інформаційних матеріалів, залучення до роботи спеціалістів, необхідних для виконання поставлених завдань</w:t>
            </w:r>
            <w:r w:rsidR="00062798"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062798" w:rsidRPr="00062798" w:rsidRDefault="00E8138D" w:rsidP="00A17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6. </w:t>
            </w:r>
            <w:r w:rsidR="00062798" w:rsidRPr="00062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перевірках стаціонарних установ системи соціального захисту населення з питань забезпечення додержання прав громадян похилого віку, осіб (дітей) з інвалідністю, що там проживають, надання якісних соціальних послуг </w:t>
            </w:r>
          </w:p>
          <w:p w:rsidR="00062798" w:rsidRPr="00062798" w:rsidRDefault="00E8138D" w:rsidP="00A1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7.</w:t>
            </w:r>
            <w:r w:rsidR="00062798" w:rsidRPr="0006279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062798" w:rsidRPr="0006279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Надання адміністративної послуги “</w:t>
            </w:r>
            <w:r w:rsidR="00062798" w:rsidRPr="00062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будинку-інтернату”</w:t>
            </w:r>
          </w:p>
          <w:p w:rsidR="00062798" w:rsidRPr="00062798" w:rsidRDefault="00E8138D" w:rsidP="00A1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8.</w:t>
            </w: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62798" w:rsidRPr="00062798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Сприяння</w:t>
            </w:r>
            <w:r w:rsidR="00062798" w:rsidRPr="00062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органам місцевого самоврядування у вирішенні питань соціально-економічного розвитку відповідних територій, громадським та іншим організаціям, волонтерам у проведенні ними роботи з питань соціального захисту осіб (дітей) з інвалідністю, людей похилого віку та інших вразливих категорій населення</w:t>
            </w:r>
          </w:p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9.</w:t>
            </w: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2798" w:rsidRPr="00062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і поширення передового досвіду роботи </w:t>
            </w:r>
            <w:r w:rsidR="00062798" w:rsidRPr="00062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інтернатних установ з питань надання якісних соціальних послуг, медичного обслуговування в інтернатних установах</w:t>
            </w:r>
          </w:p>
          <w:p w:rsidR="00062798" w:rsidRPr="00062798" w:rsidRDefault="00062798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062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розгляду звернень громадян, підприємств, установ та організацій, посадових осіб, публічні запити, запити та звернення народних депутатів, запити на інформацію з питань діяльності інтернатних установ, територіальних </w:t>
            </w:r>
            <w:r w:rsidRPr="0006279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центрів соціального обслуговування (надання соціальних послуг), центрів надання соціальних послуг, центрів </w:t>
            </w:r>
            <w:r w:rsidRPr="00062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комплексної реабілітації для осіб з інвалідністю та дітей з інвалідністю</w:t>
            </w:r>
          </w:p>
        </w:tc>
      </w:tr>
      <w:tr w:rsidR="00A1726D" w:rsidRPr="00062798" w:rsidTr="00062798">
        <w:trPr>
          <w:trHeight w:val="7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062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Посадовий оклад – </w:t>
            </w:r>
            <w:r w:rsidR="00062798"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7500</w:t>
            </w: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 грн., інші виплати відпо</w:t>
            </w: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відно до Закону України "Про державну службу"</w:t>
            </w:r>
          </w:p>
        </w:tc>
      </w:tr>
      <w:tr w:rsidR="00A1726D" w:rsidRPr="00062798" w:rsidTr="00062798">
        <w:trPr>
          <w:trHeight w:val="8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призначення на цю посаду переможця конкурсу або до спливу 12 місяців з дня припинення чи скасування воєнного стану</w:t>
            </w:r>
          </w:p>
        </w:tc>
      </w:tr>
      <w:tr w:rsidR="00A1726D" w:rsidRPr="00062798" w:rsidTr="00062798">
        <w:trPr>
          <w:trHeight w:val="10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D711D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Відповідно до статті 10 Закону України «Про правовий режим воєнного стану»</w:t>
            </w:r>
          </w:p>
        </w:tc>
      </w:tr>
      <w:tr w:rsidR="00A1726D" w:rsidRPr="00062798" w:rsidTr="00062798">
        <w:trPr>
          <w:trHeight w:val="16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6D" w:rsidRPr="00062798" w:rsidRDefault="00A1726D" w:rsidP="00A1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798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62798">
              <w:rPr>
                <w:rFonts w:ascii="Times New Roman" w:hAnsi="Times New Roman" w:cs="Times New Roman"/>
                <w:sz w:val="24"/>
                <w:szCs w:val="24"/>
              </w:rPr>
              <w:t xml:space="preserve"> Сніжана Михайлівна, </w:t>
            </w:r>
          </w:p>
          <w:p w:rsidR="00E8138D" w:rsidRPr="00062798" w:rsidRDefault="00A1726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062798">
              <w:rPr>
                <w:rFonts w:ascii="Times New Roman" w:hAnsi="Times New Roman" w:cs="Times New Roman"/>
                <w:sz w:val="24"/>
                <w:szCs w:val="24"/>
              </w:rPr>
              <w:t xml:space="preserve">. (0382) 75-20-95  </w:t>
            </w:r>
          </w:p>
        </w:tc>
      </w:tr>
      <w:tr w:rsidR="00A1726D" w:rsidRPr="00062798" w:rsidTr="00A1726D">
        <w:trPr>
          <w:trHeight w:val="78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Кваліфікаційні вимоги</w:t>
            </w:r>
          </w:p>
        </w:tc>
      </w:tr>
      <w:tr w:rsidR="00A1726D" w:rsidRPr="00062798" w:rsidTr="00E8138D">
        <w:trPr>
          <w:trHeight w:val="7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062798" w:rsidP="00A1726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В</w:t>
            </w:r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ища </w:t>
            </w:r>
            <w:proofErr w:type="spellStart"/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>освіта</w:t>
            </w:r>
            <w:proofErr w:type="spellEnd"/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>ступенем</w:t>
            </w:r>
            <w:proofErr w:type="spellEnd"/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>нижче</w:t>
            </w:r>
            <w:proofErr w:type="spellEnd"/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>магістра</w:t>
            </w:r>
            <w:proofErr w:type="spellEnd"/>
          </w:p>
        </w:tc>
      </w:tr>
      <w:tr w:rsidR="00A1726D" w:rsidRPr="00062798" w:rsidTr="00E8138D">
        <w:trPr>
          <w:trHeight w:val="7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Досвід роботи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062798" w:rsidP="00A1726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</w:rPr>
              <w:t>Досвід роботи на посадах державної служби кате</w:t>
            </w:r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горій "Б" чи "В" або досвід служби в ор</w:t>
            </w:r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ганах міс</w:t>
            </w:r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цевого самоврядування, або досвід роботи на керів</w:t>
            </w:r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них посадах підприємств, установ та орга</w:t>
            </w:r>
            <w:r w:rsidRPr="00062798">
              <w:rPr>
                <w:rStyle w:val="rvts0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нізацій незалежно від форми власності не менше двох років</w:t>
            </w:r>
          </w:p>
        </w:tc>
      </w:tr>
      <w:tr w:rsidR="00A1726D" w:rsidRPr="00062798" w:rsidTr="00E8138D">
        <w:trPr>
          <w:trHeight w:val="8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A1726D" w:rsidRPr="00062798" w:rsidTr="00E8138D">
        <w:trPr>
          <w:trHeight w:val="8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Володіння іноземною мовою</w:t>
            </w:r>
          </w:p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138D" w:rsidRPr="00062798" w:rsidRDefault="00E8138D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726D" w:rsidRPr="00062798" w:rsidTr="00A1726D">
        <w:trPr>
          <w:trHeight w:val="78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A653E3" w:rsidP="00023D4B">
            <w:pPr>
              <w:tabs>
                <w:tab w:val="left" w:pos="24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Інші вимоги до професійної компетентності</w:t>
            </w:r>
          </w:p>
        </w:tc>
      </w:tr>
      <w:tr w:rsidR="00A1726D" w:rsidRPr="00062798" w:rsidTr="00A1726D">
        <w:trPr>
          <w:trHeight w:val="785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6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6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2798" w:rsidRPr="00062798" w:rsidTr="00A1726D">
        <w:trPr>
          <w:trHeight w:val="7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30459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Лідерство</w:t>
            </w:r>
            <w:bookmarkStart w:id="0" w:name="_GoBack"/>
            <w:bookmarkEnd w:id="0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30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вміння мотивувати до ефективної професійної діяльності;</w:t>
            </w:r>
          </w:p>
          <w:p w:rsidR="00062798" w:rsidRPr="00062798" w:rsidRDefault="00062798" w:rsidP="0030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сприяння всебічному розвитку особистості;</w:t>
            </w:r>
          </w:p>
          <w:p w:rsidR="00062798" w:rsidRPr="00062798" w:rsidRDefault="00062798" w:rsidP="0030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вміння делегувати повноваження та управляти результатами діяльності;</w:t>
            </w:r>
          </w:p>
          <w:p w:rsidR="00062798" w:rsidRPr="00062798" w:rsidRDefault="00062798" w:rsidP="00304595">
            <w:pPr>
              <w:widowControl w:val="0"/>
              <w:tabs>
                <w:tab w:val="left" w:pos="426"/>
              </w:tabs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здатність до формування ефективної організаційної культури державної служби</w:t>
            </w:r>
          </w:p>
        </w:tc>
      </w:tr>
      <w:tr w:rsidR="00062798" w:rsidRPr="00062798" w:rsidTr="00A1726D">
        <w:trPr>
          <w:trHeight w:val="7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30459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ефектив</w:t>
            </w: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них рішень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30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здатність приймати вчасні та виважені рішення;</w:t>
            </w:r>
          </w:p>
          <w:p w:rsidR="00062798" w:rsidRPr="00062798" w:rsidRDefault="00062798" w:rsidP="0030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аналіз альтернатив;</w:t>
            </w:r>
          </w:p>
          <w:p w:rsidR="00062798" w:rsidRPr="00062798" w:rsidRDefault="00062798" w:rsidP="0030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спроможність іти на виважений ризик;</w:t>
            </w:r>
          </w:p>
          <w:p w:rsidR="00062798" w:rsidRPr="00062798" w:rsidRDefault="00062798" w:rsidP="00304595">
            <w:pPr>
              <w:widowControl w:val="0"/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автономність та ініціативність щодо пропозицій і рішень</w:t>
            </w:r>
          </w:p>
        </w:tc>
      </w:tr>
      <w:tr w:rsidR="00062798" w:rsidRPr="00062798" w:rsidTr="00A1726D">
        <w:trPr>
          <w:trHeight w:val="7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A172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304595">
            <w:pPr>
              <w:spacing w:before="100" w:beforeAutospacing="1" w:after="100" w:afterAutospacing="1"/>
              <w:ind w:left="1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7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Комунікації та          взаємодія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98" w:rsidRPr="00062798" w:rsidRDefault="00062798" w:rsidP="00304595">
            <w:pPr>
              <w:autoSpaceDE w:val="0"/>
              <w:autoSpaceDN w:val="0"/>
              <w:adjustRightInd w:val="0"/>
              <w:spacing w:after="40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вміння ефективної комунікації та публічних виступів;</w:t>
            </w:r>
          </w:p>
          <w:p w:rsidR="00062798" w:rsidRPr="00062798" w:rsidRDefault="00062798" w:rsidP="00304595">
            <w:pPr>
              <w:autoSpaceDE w:val="0"/>
              <w:autoSpaceDN w:val="0"/>
              <w:adjustRightInd w:val="0"/>
              <w:spacing w:after="40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27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співпраця та налагодження партнерської взаємодії; </w:t>
            </w:r>
          </w:p>
          <w:p w:rsidR="00062798" w:rsidRPr="00062798" w:rsidRDefault="00062798" w:rsidP="00304595">
            <w:pPr>
              <w:autoSpaceDE w:val="0"/>
              <w:autoSpaceDN w:val="0"/>
              <w:adjustRightInd w:val="0"/>
              <w:spacing w:after="40"/>
              <w:ind w:firstLine="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2798">
              <w:rPr>
                <w:rFonts w:ascii="Times New Roman" w:hAnsi="Times New Roman" w:cs="Times New Roman"/>
                <w:sz w:val="24"/>
                <w:szCs w:val="24"/>
              </w:rPr>
              <w:t xml:space="preserve">   відкритість</w:t>
            </w:r>
          </w:p>
        </w:tc>
      </w:tr>
    </w:tbl>
    <w:p w:rsidR="00E8138D" w:rsidRPr="00062798" w:rsidRDefault="00E8138D" w:rsidP="00A1726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7265"/>
      </w:tblGrid>
      <w:tr w:rsidR="00A1726D" w:rsidRPr="00062798" w:rsidTr="00AB09F5">
        <w:trPr>
          <w:trHeight w:val="812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__________</w:t>
            </w:r>
          </w:p>
          <w:p w:rsidR="00E8138D" w:rsidRPr="00062798" w:rsidRDefault="00E8138D" w:rsidP="00A1726D">
            <w:pPr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Примітка.</w:t>
            </w:r>
          </w:p>
        </w:tc>
        <w:tc>
          <w:tcPr>
            <w:tcW w:w="7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138D" w:rsidRPr="00062798" w:rsidRDefault="00E8138D" w:rsidP="00A1726D">
            <w:pPr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 щодо володіння іноземною мовою зазначається лише для вакантних посад державної служби категорії “А”.</w:t>
            </w:r>
          </w:p>
          <w:p w:rsidR="00E8138D" w:rsidRPr="00062798" w:rsidRDefault="00E8138D" w:rsidP="00A1726D">
            <w:pPr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Зазначаються загальні вимоги відповідно до </w:t>
            </w:r>
            <w:hyperlink r:id="rId6" w:anchor="n277">
              <w:r w:rsidRPr="0006279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частини першої статті 19</w:t>
              </w:r>
            </w:hyperlink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hyperlink r:id="rId7" w:anchor="n292">
              <w:r w:rsidRPr="0006279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частини другої статті 20</w:t>
              </w:r>
            </w:hyperlink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України “Про державну службу”.</w:t>
            </w:r>
          </w:p>
          <w:p w:rsidR="00E8138D" w:rsidRPr="00062798" w:rsidRDefault="00E8138D" w:rsidP="00A1726D">
            <w:pPr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2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</w:p>
        </w:tc>
      </w:tr>
      <w:tr w:rsidR="00A1726D" w:rsidRPr="00062798" w:rsidTr="00AB09F5">
        <w:trPr>
          <w:trHeight w:val="322"/>
        </w:trPr>
        <w:tc>
          <w:tcPr>
            <w:tcW w:w="198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38D" w:rsidRPr="00062798" w:rsidRDefault="00E8138D" w:rsidP="00A1726D">
            <w:pPr>
              <w:spacing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138D" w:rsidRPr="00062798" w:rsidRDefault="00E8138D" w:rsidP="00A1726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:rsidR="00E8138D" w:rsidRPr="00062798" w:rsidRDefault="00E8138D" w:rsidP="00A1726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:rsidR="00062C9F" w:rsidRPr="00062798" w:rsidRDefault="00062C9F" w:rsidP="00A172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C9F" w:rsidRPr="00062798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7AB"/>
    <w:multiLevelType w:val="hybridMultilevel"/>
    <w:tmpl w:val="5B12599C"/>
    <w:lvl w:ilvl="0" w:tplc="38C2D28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140A"/>
    <w:multiLevelType w:val="multilevel"/>
    <w:tmpl w:val="F8F459A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D12D52"/>
    <w:multiLevelType w:val="hybridMultilevel"/>
    <w:tmpl w:val="D8163F12"/>
    <w:lvl w:ilvl="0" w:tplc="38C2D28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2"/>
    <w:rsid w:val="00023D4B"/>
    <w:rsid w:val="00062798"/>
    <w:rsid w:val="00062C9F"/>
    <w:rsid w:val="001B0BF1"/>
    <w:rsid w:val="0083734E"/>
    <w:rsid w:val="00A1726D"/>
    <w:rsid w:val="00A653E3"/>
    <w:rsid w:val="00D711DD"/>
    <w:rsid w:val="00DC302B"/>
    <w:rsid w:val="00E11551"/>
    <w:rsid w:val="00E33AA2"/>
    <w:rsid w:val="00E8138D"/>
    <w:rsid w:val="00F6215C"/>
    <w:rsid w:val="00F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38D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4">
    <w:name w:val="Знак Знак"/>
    <w:basedOn w:val="a"/>
    <w:rsid w:val="00E8138D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Нормальний текст"/>
    <w:basedOn w:val="a"/>
    <w:uiPriority w:val="99"/>
    <w:rsid w:val="00E8138D"/>
    <w:pPr>
      <w:spacing w:before="12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rvps14">
    <w:name w:val="rvps14"/>
    <w:basedOn w:val="a"/>
    <w:rsid w:val="00A1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A1726D"/>
  </w:style>
  <w:style w:type="character" w:customStyle="1" w:styleId="st42">
    <w:name w:val="st42"/>
    <w:uiPriority w:val="99"/>
    <w:rsid w:val="00A1726D"/>
    <w:rPr>
      <w:rFonts w:ascii="Times New Roman" w:hAnsi="Times New Roman" w:cs="Times New Roman" w:hint="default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65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E3"/>
    <w:rPr>
      <w:rFonts w:ascii="Tahoma" w:eastAsia="Arial" w:hAnsi="Tahoma" w:cs="Tahoma"/>
      <w:sz w:val="16"/>
      <w:szCs w:val="16"/>
      <w:lang w:val="uk" w:eastAsia="ru-RU"/>
    </w:rPr>
  </w:style>
  <w:style w:type="character" w:customStyle="1" w:styleId="a8">
    <w:name w:val="Основной текст Знак"/>
    <w:link w:val="a9"/>
    <w:rsid w:val="00062798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062798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062798"/>
    <w:rPr>
      <w:rFonts w:ascii="Arial" w:eastAsia="Arial" w:hAnsi="Arial" w:cs="Arial"/>
      <w:lang w:val="uk" w:eastAsia="ru-RU"/>
    </w:rPr>
  </w:style>
  <w:style w:type="character" w:customStyle="1" w:styleId="rvts0">
    <w:name w:val="rvts0"/>
    <w:basedOn w:val="a0"/>
    <w:rsid w:val="00062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38D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4">
    <w:name w:val="Знак Знак"/>
    <w:basedOn w:val="a"/>
    <w:rsid w:val="00E8138D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Нормальний текст"/>
    <w:basedOn w:val="a"/>
    <w:uiPriority w:val="99"/>
    <w:rsid w:val="00E8138D"/>
    <w:pPr>
      <w:spacing w:before="12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rvps14">
    <w:name w:val="rvps14"/>
    <w:basedOn w:val="a"/>
    <w:rsid w:val="00A1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A1726D"/>
  </w:style>
  <w:style w:type="character" w:customStyle="1" w:styleId="st42">
    <w:name w:val="st42"/>
    <w:uiPriority w:val="99"/>
    <w:rsid w:val="00A1726D"/>
    <w:rPr>
      <w:rFonts w:ascii="Times New Roman" w:hAnsi="Times New Roman" w:cs="Times New Roman" w:hint="default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65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E3"/>
    <w:rPr>
      <w:rFonts w:ascii="Tahoma" w:eastAsia="Arial" w:hAnsi="Tahoma" w:cs="Tahoma"/>
      <w:sz w:val="16"/>
      <w:szCs w:val="16"/>
      <w:lang w:val="uk" w:eastAsia="ru-RU"/>
    </w:rPr>
  </w:style>
  <w:style w:type="character" w:customStyle="1" w:styleId="a8">
    <w:name w:val="Основной текст Знак"/>
    <w:link w:val="a9"/>
    <w:rsid w:val="00062798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062798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062798"/>
    <w:rPr>
      <w:rFonts w:ascii="Arial" w:eastAsia="Arial" w:hAnsi="Arial" w:cs="Arial"/>
      <w:lang w:val="uk" w:eastAsia="ru-RU"/>
    </w:rPr>
  </w:style>
  <w:style w:type="character" w:customStyle="1" w:styleId="rvts0">
    <w:name w:val="rvts0"/>
    <w:basedOn w:val="a0"/>
    <w:rsid w:val="0006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2022-06-29T08:06:00Z</cp:lastPrinted>
  <dcterms:created xsi:type="dcterms:W3CDTF">2022-06-29T07:41:00Z</dcterms:created>
  <dcterms:modified xsi:type="dcterms:W3CDTF">2022-08-04T07:23:00Z</dcterms:modified>
</cp:coreProperties>
</file>